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443A4" w14:textId="77777777" w:rsidR="007545DE" w:rsidRPr="007545DE" w:rsidRDefault="007545DE" w:rsidP="007545DE">
      <w:r>
        <w:rPr>
          <w:noProof/>
        </w:rPr>
        <w:drawing>
          <wp:inline distT="0" distB="0" distL="0" distR="0" wp14:anchorId="172367CE" wp14:editId="445216B6">
            <wp:extent cx="5943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876300"/>
                    </a:xfrm>
                    <a:prstGeom prst="rect">
                      <a:avLst/>
                    </a:prstGeom>
                  </pic:spPr>
                </pic:pic>
              </a:graphicData>
            </a:graphic>
          </wp:inline>
        </w:drawing>
      </w:r>
      <w:bookmarkStart w:id="0" w:name="_GoBack"/>
      <w:bookmarkEnd w:id="0"/>
      <w:r>
        <w:rPr>
          <w:rFonts w:ascii="Segoe UI" w:eastAsia="Times New Roman" w:hAnsi="Segoe UI" w:cs="Segoe UI"/>
          <w:color w:val="212121"/>
          <w:sz w:val="24"/>
          <w:szCs w:val="24"/>
        </w:rPr>
        <w:br/>
      </w:r>
      <w:r w:rsidRPr="007545DE">
        <w:rPr>
          <w:rFonts w:ascii="Times New Roman" w:eastAsia="Times New Roman" w:hAnsi="Times New Roman" w:cs="Times New Roman"/>
          <w:b/>
          <w:bCs/>
          <w:color w:val="000000"/>
          <w:kern w:val="36"/>
          <w:sz w:val="24"/>
          <w:szCs w:val="24"/>
          <w:bdr w:val="none" w:sz="0" w:space="0" w:color="auto" w:frame="1"/>
        </w:rPr>
        <w:t>NWTF celebrates passage of Natural Resources Management Act</w:t>
      </w:r>
    </w:p>
    <w:tbl>
      <w:tblPr>
        <w:tblpPr w:leftFromText="45" w:rightFromText="45" w:vertAnchor="text" w:tblpXSpec="right" w:tblpYSpec="center"/>
        <w:tblW w:w="3270" w:type="dxa"/>
        <w:tblCellSpacing w:w="15" w:type="dxa"/>
        <w:shd w:val="clear" w:color="auto" w:fill="FFFFFF"/>
        <w:tblCellMar>
          <w:top w:w="50" w:type="dxa"/>
          <w:left w:w="50" w:type="dxa"/>
          <w:bottom w:w="50" w:type="dxa"/>
          <w:right w:w="50" w:type="dxa"/>
        </w:tblCellMar>
        <w:tblLook w:val="04A0" w:firstRow="1" w:lastRow="0" w:firstColumn="1" w:lastColumn="0" w:noHBand="0" w:noVBand="1"/>
      </w:tblPr>
      <w:tblGrid>
        <w:gridCol w:w="3270"/>
      </w:tblGrid>
      <w:tr w:rsidR="007545DE" w:rsidRPr="007545DE" w14:paraId="39D31F19" w14:textId="77777777" w:rsidTr="007545DE">
        <w:trPr>
          <w:tblCellSpacing w:w="15" w:type="dxa"/>
        </w:trPr>
        <w:tc>
          <w:tcPr>
            <w:tcW w:w="0" w:type="auto"/>
            <w:shd w:val="clear" w:color="auto" w:fill="FFFFFF"/>
            <w:vAlign w:val="center"/>
            <w:hideMark/>
          </w:tcPr>
          <w:p w14:paraId="7373BAD3" w14:textId="77777777" w:rsidR="007545DE" w:rsidRPr="007545DE" w:rsidRDefault="007545DE" w:rsidP="007545DE">
            <w:pPr>
              <w:spacing w:after="0" w:line="240" w:lineRule="auto"/>
              <w:jc w:val="center"/>
              <w:rPr>
                <w:rFonts w:ascii="Segoe UI" w:eastAsia="Times New Roman" w:hAnsi="Segoe UI" w:cs="Segoe UI"/>
                <w:color w:val="212121"/>
                <w:sz w:val="24"/>
                <w:szCs w:val="24"/>
              </w:rPr>
            </w:pPr>
            <w:r w:rsidRPr="007545DE">
              <w:rPr>
                <w:rFonts w:ascii="Segoe UI" w:eastAsia="Times New Roman" w:hAnsi="Segoe UI" w:cs="Segoe UI"/>
                <w:noProof/>
                <w:color w:val="212121"/>
                <w:sz w:val="24"/>
                <w:szCs w:val="24"/>
              </w:rPr>
              <mc:AlternateContent>
                <mc:Choice Requires="wps">
                  <w:drawing>
                    <wp:inline distT="0" distB="0" distL="0" distR="0" wp14:anchorId="5B7B0C3A" wp14:editId="1A90E2F1">
                      <wp:extent cx="304800" cy="304800"/>
                      <wp:effectExtent l="0" t="0" r="0" b="0"/>
                      <wp:docPr id="2" name="Rectangle 2" descr="sth2-logo17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DD528F" id="Rectangle 2" o:spid="_x0000_s1026" alt="sth2-logo17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CejsIzGAgAA0AUAAA4AAAAAAAAAAAAAAAAALgIAAGRycy9lMm9Eb2MueG1sUEsBAi0AFAAGAAgA&#10;AAAhAEyg6SzYAAAAAwEAAA8AAAAAAAAAAAAAAAAAIAUAAGRycy9kb3ducmV2LnhtbFBLBQYAAAAA&#10;BAAEAPMAAAAlBgAAAAA=&#10;" filled="f" stroked="f">
                      <o:lock v:ext="edit" aspectratio="t"/>
                      <w10:anchorlock/>
                    </v:rect>
                  </w:pict>
                </mc:Fallback>
              </mc:AlternateContent>
            </w:r>
            <w:r w:rsidRPr="007545DE">
              <w:rPr>
                <w:rFonts w:ascii="inherit" w:eastAsia="Times New Roman" w:hAnsi="inherit" w:cs="Segoe UI"/>
                <w:color w:val="212121"/>
                <w:sz w:val="24"/>
                <w:szCs w:val="24"/>
                <w:bdr w:val="none" w:sz="0" w:space="0" w:color="auto" w:frame="1"/>
              </w:rPr>
              <w:br/>
            </w:r>
          </w:p>
        </w:tc>
      </w:tr>
    </w:tbl>
    <w:p w14:paraId="735CD207" w14:textId="77777777" w:rsidR="007545DE" w:rsidRPr="007545DE" w:rsidRDefault="007545DE" w:rsidP="007545DE">
      <w:pPr>
        <w:shd w:val="clear" w:color="auto" w:fill="FFFFFF"/>
        <w:spacing w:before="100" w:beforeAutospacing="1" w:after="100" w:afterAutospacing="1" w:line="240" w:lineRule="auto"/>
        <w:rPr>
          <w:rFonts w:ascii="Segoe UI" w:eastAsia="Times New Roman" w:hAnsi="Segoe UI" w:cs="Segoe UI"/>
          <w:color w:val="212121"/>
          <w:sz w:val="24"/>
          <w:szCs w:val="24"/>
        </w:rPr>
      </w:pPr>
      <w:r w:rsidRPr="007545DE">
        <w:rPr>
          <w:rFonts w:ascii="Segoe UI" w:eastAsia="Times New Roman" w:hAnsi="Segoe UI" w:cs="Segoe UI"/>
          <w:b/>
          <w:bCs/>
          <w:color w:val="212121"/>
          <w:sz w:val="24"/>
          <w:szCs w:val="24"/>
        </w:rPr>
        <w:t>EDGEFIELD, S.C.</w:t>
      </w:r>
      <w:r w:rsidRPr="007545DE">
        <w:rPr>
          <w:rFonts w:ascii="Segoe UI" w:eastAsia="Times New Roman" w:hAnsi="Segoe UI" w:cs="Segoe UI"/>
          <w:color w:val="212121"/>
          <w:sz w:val="24"/>
          <w:szCs w:val="24"/>
        </w:rPr>
        <w:t> — The National Wild Turkey Federation applauds the passage of the Natural Resources Management Act (S. 47), a public lands package containing critical conservation program reauthorizations and provisions benefiting sportsmen and women nationwide. Senators Lisa Murkowski, R-AK, and Maria Cantwell, D-WA, introduced the bill in January. </w:t>
      </w:r>
      <w:r w:rsidRPr="007545DE">
        <w:rPr>
          <w:rFonts w:ascii="Segoe UI" w:eastAsia="Times New Roman" w:hAnsi="Segoe UI" w:cs="Segoe UI"/>
          <w:color w:val="212121"/>
          <w:sz w:val="24"/>
          <w:szCs w:val="24"/>
        </w:rPr>
        <w:br/>
      </w:r>
      <w:r w:rsidRPr="007545DE">
        <w:rPr>
          <w:rFonts w:ascii="Segoe UI" w:eastAsia="Times New Roman" w:hAnsi="Segoe UI" w:cs="Segoe UI"/>
          <w:color w:val="212121"/>
          <w:sz w:val="24"/>
          <w:szCs w:val="24"/>
        </w:rPr>
        <w:br/>
        <w:t>The permanent reauthorization of the Land and Water Conservation Fund — the vital piece of legislation created to protect land and water resources and provide recreation opportunities expired September 2018 — is included in the Natural Resources Management Act and is a huge achievement for the outdoor community. The act also sets aside 3 percent of LWCF funding specifically to provide public access projects to federal lands.</w:t>
      </w:r>
      <w:r w:rsidRPr="007545DE">
        <w:rPr>
          <w:rFonts w:ascii="Segoe UI" w:eastAsia="Times New Roman" w:hAnsi="Segoe UI" w:cs="Segoe UI"/>
          <w:color w:val="212121"/>
          <w:sz w:val="24"/>
          <w:szCs w:val="24"/>
        </w:rPr>
        <w:br/>
      </w:r>
      <w:r w:rsidRPr="007545DE">
        <w:rPr>
          <w:rFonts w:ascii="Segoe UI" w:eastAsia="Times New Roman" w:hAnsi="Segoe UI" w:cs="Segoe UI"/>
          <w:color w:val="212121"/>
          <w:sz w:val="24"/>
          <w:szCs w:val="24"/>
        </w:rPr>
        <w:br/>
        <w:t>Other beneficial provisions include:</w:t>
      </w:r>
    </w:p>
    <w:p w14:paraId="4AF24F7A" w14:textId="77777777" w:rsidR="007545DE" w:rsidRPr="007545DE" w:rsidRDefault="007545DE" w:rsidP="007545DE">
      <w:pPr>
        <w:numPr>
          <w:ilvl w:val="0"/>
          <w:numId w:val="1"/>
        </w:numPr>
        <w:shd w:val="clear" w:color="auto" w:fill="FFFFFF"/>
        <w:spacing w:before="100" w:beforeAutospacing="1" w:after="100" w:afterAutospacing="1" w:line="240" w:lineRule="auto"/>
        <w:rPr>
          <w:rFonts w:ascii="Segoe UI" w:eastAsia="Times New Roman" w:hAnsi="Segoe UI" w:cs="Segoe UI"/>
          <w:color w:val="212121"/>
          <w:sz w:val="24"/>
          <w:szCs w:val="24"/>
        </w:rPr>
      </w:pPr>
      <w:r w:rsidRPr="007545DE">
        <w:rPr>
          <w:rFonts w:ascii="Segoe UI" w:eastAsia="Times New Roman" w:hAnsi="Segoe UI" w:cs="Segoe UI"/>
          <w:color w:val="212121"/>
          <w:sz w:val="24"/>
          <w:szCs w:val="24"/>
        </w:rPr>
        <w:t>Reauthorizing the Partners for Fish and Wildlife Program, a voluntary program to provide financial and technical assistance for private landowners to restore and conserve fish and wildlife habitat</w:t>
      </w:r>
    </w:p>
    <w:p w14:paraId="4CDFDBC1" w14:textId="77777777" w:rsidR="007545DE" w:rsidRPr="007545DE" w:rsidRDefault="007545DE" w:rsidP="007545DE">
      <w:pPr>
        <w:numPr>
          <w:ilvl w:val="0"/>
          <w:numId w:val="1"/>
        </w:numPr>
        <w:shd w:val="clear" w:color="auto" w:fill="FFFFFF"/>
        <w:spacing w:before="100" w:beforeAutospacing="1" w:after="100" w:afterAutospacing="1" w:line="240" w:lineRule="auto"/>
        <w:rPr>
          <w:rFonts w:ascii="Segoe UI" w:eastAsia="Times New Roman" w:hAnsi="Segoe UI" w:cs="Segoe UI"/>
          <w:color w:val="212121"/>
          <w:sz w:val="24"/>
          <w:szCs w:val="24"/>
        </w:rPr>
      </w:pPr>
      <w:r w:rsidRPr="007545DE">
        <w:rPr>
          <w:rFonts w:ascii="Segoe UI" w:eastAsia="Times New Roman" w:hAnsi="Segoe UI" w:cs="Segoe UI"/>
          <w:color w:val="212121"/>
          <w:sz w:val="24"/>
          <w:szCs w:val="24"/>
        </w:rPr>
        <w:t>Requiring federal land management agencies identify opportunities for hunting, fishing and other outdoor recreation on public lands</w:t>
      </w:r>
    </w:p>
    <w:p w14:paraId="42FE4C30" w14:textId="77777777" w:rsidR="007545DE" w:rsidRPr="007545DE" w:rsidRDefault="007545DE" w:rsidP="007545DE">
      <w:pPr>
        <w:numPr>
          <w:ilvl w:val="0"/>
          <w:numId w:val="1"/>
        </w:numPr>
        <w:shd w:val="clear" w:color="auto" w:fill="FFFFFF"/>
        <w:spacing w:before="100" w:beforeAutospacing="1" w:after="100" w:afterAutospacing="1" w:line="240" w:lineRule="auto"/>
        <w:rPr>
          <w:rFonts w:ascii="Segoe UI" w:eastAsia="Times New Roman" w:hAnsi="Segoe UI" w:cs="Segoe UI"/>
          <w:color w:val="212121"/>
          <w:sz w:val="24"/>
          <w:szCs w:val="24"/>
        </w:rPr>
      </w:pPr>
      <w:r w:rsidRPr="007545DE">
        <w:rPr>
          <w:rFonts w:ascii="Segoe UI" w:eastAsia="Times New Roman" w:hAnsi="Segoe UI" w:cs="Segoe UI"/>
          <w:color w:val="212121"/>
          <w:sz w:val="24"/>
          <w:szCs w:val="24"/>
        </w:rPr>
        <w:t>Clarifying all federal public lands are open for hunting and fishing unless specifically closed</w:t>
      </w:r>
    </w:p>
    <w:p w14:paraId="30BD9572" w14:textId="77777777" w:rsidR="007545DE" w:rsidRPr="007545DE" w:rsidRDefault="007545DE" w:rsidP="007545DE">
      <w:pPr>
        <w:numPr>
          <w:ilvl w:val="0"/>
          <w:numId w:val="1"/>
        </w:numPr>
        <w:shd w:val="clear" w:color="auto" w:fill="FFFFFF"/>
        <w:spacing w:before="100" w:beforeAutospacing="1" w:after="100" w:afterAutospacing="1" w:line="240" w:lineRule="auto"/>
        <w:rPr>
          <w:rFonts w:ascii="Segoe UI" w:eastAsia="Times New Roman" w:hAnsi="Segoe UI" w:cs="Segoe UI"/>
          <w:color w:val="212121"/>
          <w:sz w:val="24"/>
          <w:szCs w:val="24"/>
        </w:rPr>
      </w:pPr>
      <w:r w:rsidRPr="007545DE">
        <w:rPr>
          <w:rFonts w:ascii="Segoe UI" w:eastAsia="Times New Roman" w:hAnsi="Segoe UI" w:cs="Segoe UI"/>
          <w:color w:val="212121"/>
          <w:sz w:val="24"/>
          <w:szCs w:val="24"/>
        </w:rPr>
        <w:t>Allowing qualified volunteers to manage wildlife populations through hunting on national parks</w:t>
      </w:r>
    </w:p>
    <w:p w14:paraId="741AFF3E" w14:textId="77777777" w:rsidR="007545DE" w:rsidRPr="007545DE" w:rsidRDefault="007545DE" w:rsidP="007545DE">
      <w:pPr>
        <w:shd w:val="clear" w:color="auto" w:fill="FFFFFF"/>
        <w:spacing w:before="100" w:beforeAutospacing="1" w:after="100" w:afterAutospacing="1" w:line="240" w:lineRule="auto"/>
        <w:rPr>
          <w:rFonts w:ascii="Segoe UI" w:eastAsia="Times New Roman" w:hAnsi="Segoe UI" w:cs="Segoe UI"/>
          <w:color w:val="212121"/>
          <w:sz w:val="24"/>
          <w:szCs w:val="24"/>
        </w:rPr>
      </w:pPr>
      <w:r w:rsidRPr="007545DE">
        <w:rPr>
          <w:rFonts w:ascii="Segoe UI" w:eastAsia="Times New Roman" w:hAnsi="Segoe UI" w:cs="Segoe UI"/>
          <w:color w:val="212121"/>
          <w:sz w:val="24"/>
          <w:szCs w:val="24"/>
        </w:rPr>
        <w:t xml:space="preserve">“We thank the senate and house for prioritizing conservation and public access through </w:t>
      </w:r>
      <w:proofErr w:type="gramStart"/>
      <w:r w:rsidRPr="007545DE">
        <w:rPr>
          <w:rFonts w:ascii="Segoe UI" w:eastAsia="Times New Roman" w:hAnsi="Segoe UI" w:cs="Segoe UI"/>
          <w:color w:val="212121"/>
          <w:sz w:val="24"/>
          <w:szCs w:val="24"/>
        </w:rPr>
        <w:t>this bipartisan lands</w:t>
      </w:r>
      <w:proofErr w:type="gramEnd"/>
      <w:r w:rsidRPr="007545DE">
        <w:rPr>
          <w:rFonts w:ascii="Segoe UI" w:eastAsia="Times New Roman" w:hAnsi="Segoe UI" w:cs="Segoe UI"/>
          <w:color w:val="212121"/>
          <w:sz w:val="24"/>
          <w:szCs w:val="24"/>
        </w:rPr>
        <w:t xml:space="preserve"> package,” NWTF CEO Becky Humphries said. “Lack of access is a significant problem faced by the outdoor community, and provisions in the Natural Resources Management Act will help afford more opportunities for our nation’s hunters and anglers. We look forward to President Trump signing this important legislation into law.”</w:t>
      </w:r>
      <w:r w:rsidRPr="007545DE">
        <w:rPr>
          <w:rFonts w:ascii="Segoe UI" w:eastAsia="Times New Roman" w:hAnsi="Segoe UI" w:cs="Segoe UI"/>
          <w:color w:val="212121"/>
          <w:sz w:val="24"/>
          <w:szCs w:val="24"/>
        </w:rPr>
        <w:br/>
      </w:r>
    </w:p>
    <w:p w14:paraId="4ABEDCA4" w14:textId="77777777" w:rsidR="007545DE" w:rsidRDefault="007545DE"/>
    <w:sectPr w:rsidR="00754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E0776"/>
    <w:multiLevelType w:val="multilevel"/>
    <w:tmpl w:val="D6D4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5DE"/>
    <w:rsid w:val="004376D9"/>
    <w:rsid w:val="005F50EC"/>
    <w:rsid w:val="0075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F29D"/>
  <w15:chartTrackingRefBased/>
  <w15:docId w15:val="{7331A15E-6AA4-4F12-B1CF-52951737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545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545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5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45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545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45DE"/>
    <w:rPr>
      <w:i/>
      <w:iCs/>
    </w:rPr>
  </w:style>
  <w:style w:type="character" w:styleId="Strong">
    <w:name w:val="Strong"/>
    <w:basedOn w:val="DefaultParagraphFont"/>
    <w:uiPriority w:val="22"/>
    <w:qFormat/>
    <w:rsid w:val="007545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Duckett, Brian</dc:creator>
  <cp:keywords/>
  <dc:description/>
  <cp:lastModifiedBy>Duckett, Brian</cp:lastModifiedBy>
  <cp:revision>1</cp:revision>
  <dcterms:created xsi:type="dcterms:W3CDTF">2019-03-01T02:48:00Z</dcterms:created>
  <dcterms:modified xsi:type="dcterms:W3CDTF">2019-03-01T02:53:00Z</dcterms:modified>
</cp:coreProperties>
</file>